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DFC" w:rsidRDefault="0046567E">
      <w:pPr>
        <w:spacing w:after="157" w:line="259" w:lineRule="auto"/>
        <w:ind w:left="88" w:firstLine="0"/>
        <w:jc w:val="center"/>
      </w:pPr>
      <w:r>
        <w:rPr>
          <w:sz w:val="32"/>
        </w:rPr>
        <w:t xml:space="preserve"> </w:t>
      </w:r>
    </w:p>
    <w:p w:rsidR="00840DFC" w:rsidRDefault="0046567E">
      <w:pPr>
        <w:spacing w:after="157" w:line="259" w:lineRule="auto"/>
        <w:ind w:left="88" w:firstLine="0"/>
        <w:jc w:val="center"/>
      </w:pPr>
      <w:r>
        <w:rPr>
          <w:sz w:val="32"/>
        </w:rPr>
        <w:t xml:space="preserve"> </w:t>
      </w:r>
    </w:p>
    <w:p w:rsidR="00840DFC" w:rsidRDefault="0046567E">
      <w:pPr>
        <w:spacing w:after="159" w:line="259" w:lineRule="auto"/>
        <w:ind w:left="88" w:firstLine="0"/>
        <w:jc w:val="center"/>
      </w:pPr>
      <w:r>
        <w:rPr>
          <w:sz w:val="32"/>
        </w:rPr>
        <w:t xml:space="preserve"> </w:t>
      </w:r>
    </w:p>
    <w:p w:rsidR="00840DFC" w:rsidRDefault="0046567E">
      <w:pPr>
        <w:spacing w:after="157" w:line="259" w:lineRule="auto"/>
        <w:ind w:left="88" w:firstLine="0"/>
        <w:jc w:val="center"/>
      </w:pPr>
      <w:r>
        <w:rPr>
          <w:sz w:val="32"/>
        </w:rPr>
        <w:t xml:space="preserve"> </w:t>
      </w:r>
    </w:p>
    <w:p w:rsidR="00840DFC" w:rsidRDefault="0046567E">
      <w:pPr>
        <w:spacing w:after="157" w:line="259" w:lineRule="auto"/>
        <w:ind w:left="88" w:firstLine="0"/>
        <w:jc w:val="center"/>
      </w:pPr>
      <w:r>
        <w:rPr>
          <w:sz w:val="32"/>
        </w:rPr>
        <w:t xml:space="preserve"> </w:t>
      </w:r>
    </w:p>
    <w:p w:rsidR="00840DFC" w:rsidRDefault="0046567E">
      <w:pPr>
        <w:spacing w:after="320" w:line="259" w:lineRule="auto"/>
        <w:ind w:left="88" w:firstLine="0"/>
        <w:jc w:val="center"/>
      </w:pPr>
      <w:r>
        <w:rPr>
          <w:sz w:val="32"/>
        </w:rPr>
        <w:t xml:space="preserve"> </w:t>
      </w:r>
    </w:p>
    <w:p w:rsidR="00840DFC" w:rsidRDefault="0046567E">
      <w:pPr>
        <w:spacing w:after="0" w:line="259" w:lineRule="auto"/>
        <w:ind w:left="0" w:right="16" w:firstLine="0"/>
        <w:jc w:val="center"/>
      </w:pPr>
      <w:r>
        <w:rPr>
          <w:b/>
          <w:sz w:val="48"/>
        </w:rPr>
        <w:t xml:space="preserve">Technická zpráva </w:t>
      </w:r>
    </w:p>
    <w:p w:rsidR="00840DFC" w:rsidRDefault="0046567E">
      <w:pPr>
        <w:spacing w:after="157" w:line="259" w:lineRule="auto"/>
        <w:ind w:left="88" w:firstLine="0"/>
        <w:jc w:val="center"/>
      </w:pPr>
      <w:r>
        <w:rPr>
          <w:sz w:val="32"/>
        </w:rPr>
        <w:t xml:space="preserve"> </w:t>
      </w:r>
    </w:p>
    <w:p w:rsidR="00840DFC" w:rsidRDefault="0046567E">
      <w:pPr>
        <w:spacing w:after="159" w:line="259" w:lineRule="auto"/>
        <w:ind w:left="88" w:firstLine="0"/>
        <w:jc w:val="center"/>
      </w:pPr>
      <w:r>
        <w:rPr>
          <w:sz w:val="32"/>
        </w:rPr>
        <w:t xml:space="preserve"> </w:t>
      </w:r>
    </w:p>
    <w:p w:rsidR="00840DFC" w:rsidRDefault="0046567E">
      <w:pPr>
        <w:spacing w:after="157" w:line="259" w:lineRule="auto"/>
        <w:ind w:left="88" w:firstLine="0"/>
        <w:jc w:val="center"/>
      </w:pPr>
      <w:r>
        <w:rPr>
          <w:sz w:val="32"/>
        </w:rPr>
        <w:t xml:space="preserve"> </w:t>
      </w:r>
    </w:p>
    <w:p w:rsidR="00840DFC" w:rsidRDefault="0046567E">
      <w:pPr>
        <w:spacing w:after="157" w:line="259" w:lineRule="auto"/>
        <w:ind w:left="88" w:firstLine="0"/>
        <w:jc w:val="center"/>
      </w:pPr>
      <w:r>
        <w:rPr>
          <w:sz w:val="32"/>
        </w:rPr>
        <w:t xml:space="preserve"> </w:t>
      </w:r>
    </w:p>
    <w:p w:rsidR="00840DFC" w:rsidRDefault="0046567E">
      <w:pPr>
        <w:spacing w:after="121" w:line="259" w:lineRule="auto"/>
        <w:ind w:left="88" w:firstLine="0"/>
        <w:jc w:val="center"/>
      </w:pPr>
      <w:r>
        <w:rPr>
          <w:sz w:val="32"/>
        </w:rPr>
        <w:t xml:space="preserve"> </w:t>
      </w:r>
    </w:p>
    <w:p w:rsidR="00840DFC" w:rsidRDefault="0046567E">
      <w:pPr>
        <w:spacing w:after="159" w:line="256" w:lineRule="auto"/>
        <w:ind w:left="0" w:firstLine="0"/>
        <w:jc w:val="center"/>
      </w:pPr>
      <w:r>
        <w:rPr>
          <w:b/>
          <w:sz w:val="28"/>
        </w:rPr>
        <w:t xml:space="preserve">Projektová dokumentace k posuvným a stacionárním regálům pro Horáckou Galerii </w:t>
      </w:r>
    </w:p>
    <w:p w:rsidR="00840DFC" w:rsidRDefault="0046567E">
      <w:pPr>
        <w:spacing w:after="85" w:line="259" w:lineRule="auto"/>
        <w:ind w:left="70" w:firstLine="0"/>
        <w:jc w:val="center"/>
      </w:pPr>
      <w:r>
        <w:rPr>
          <w:b/>
          <w:sz w:val="28"/>
        </w:rPr>
        <w:t xml:space="preserve"> </w:t>
      </w:r>
    </w:p>
    <w:p w:rsidR="00840DFC" w:rsidRDefault="0046567E">
      <w:pPr>
        <w:spacing w:after="15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840DFC" w:rsidRDefault="0046567E">
      <w:pPr>
        <w:spacing w:after="16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840DFC" w:rsidRDefault="0046567E">
      <w:pPr>
        <w:spacing w:after="15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840DFC" w:rsidRDefault="0046567E">
      <w:pPr>
        <w:spacing w:after="16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840DFC" w:rsidRDefault="0046567E">
      <w:pPr>
        <w:spacing w:after="15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840DFC" w:rsidRDefault="0046567E">
      <w:pPr>
        <w:spacing w:after="15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840DFC" w:rsidRDefault="0046567E">
      <w:pPr>
        <w:spacing w:after="161" w:line="259" w:lineRule="auto"/>
        <w:ind w:left="0" w:firstLine="0"/>
      </w:pPr>
      <w:r>
        <w:rPr>
          <w:rFonts w:ascii="Calibri" w:eastAsia="Calibri" w:hAnsi="Calibri" w:cs="Calibri"/>
        </w:rPr>
        <w:lastRenderedPageBreak/>
        <w:t xml:space="preserve"> </w:t>
      </w:r>
    </w:p>
    <w:p w:rsidR="00840DFC" w:rsidRDefault="0046567E">
      <w:pPr>
        <w:spacing w:after="15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840DFC" w:rsidRDefault="0046567E">
      <w:pPr>
        <w:spacing w:after="160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840DFC" w:rsidRDefault="0046567E">
      <w:pPr>
        <w:spacing w:after="158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840DFC" w:rsidRDefault="0046567E">
      <w:pPr>
        <w:spacing w:after="232" w:line="259" w:lineRule="auto"/>
        <w:ind w:left="0" w:firstLine="0"/>
      </w:pPr>
      <w:r>
        <w:rPr>
          <w:rFonts w:ascii="Calibri" w:eastAsia="Calibri" w:hAnsi="Calibri" w:cs="Calibri"/>
        </w:rPr>
        <w:t xml:space="preserve"> </w:t>
      </w:r>
    </w:p>
    <w:p w:rsidR="0046567E" w:rsidRDefault="0046567E">
      <w:pPr>
        <w:spacing w:after="160" w:line="259" w:lineRule="auto"/>
        <w:ind w:left="0" w:firstLine="0"/>
      </w:pPr>
      <w:r>
        <w:br w:type="page"/>
      </w:r>
    </w:p>
    <w:p w:rsidR="00840DFC" w:rsidRDefault="0046567E">
      <w:pPr>
        <w:spacing w:after="159"/>
        <w:ind w:left="-5"/>
      </w:pPr>
      <w:r>
        <w:t xml:space="preserve">V </w:t>
      </w:r>
      <w:r>
        <w:t>rámci investiční akce Kraje Vysočina –</w:t>
      </w:r>
      <w:r>
        <w:t xml:space="preserve"> </w:t>
      </w:r>
      <w:r>
        <w:t>rekonstrukce objektu pro Horáckou Galerii v</w:t>
      </w:r>
      <w:r>
        <w:t xml:space="preserve"> </w:t>
      </w:r>
      <w:r>
        <w:t>Novém Městě</w:t>
      </w:r>
      <w:r>
        <w:t xml:space="preserve"> </w:t>
      </w:r>
      <w:proofErr w:type="gramStart"/>
      <w:r>
        <w:t>budou</w:t>
      </w:r>
      <w:proofErr w:type="gramEnd"/>
      <w:r>
        <w:t xml:space="preserve"> pro </w:t>
      </w:r>
      <w:r>
        <w:t>dosažení maximální kapacity úložné plochy</w:t>
      </w:r>
      <w:r>
        <w:t xml:space="preserve"> </w:t>
      </w:r>
      <w:proofErr w:type="gramStart"/>
      <w:r>
        <w:t>jsou</w:t>
      </w:r>
      <w:proofErr w:type="gramEnd"/>
      <w:r>
        <w:t xml:space="preserve"> navrženy do jednotlivých depozitů nové posuvné a stacionární regály</w:t>
      </w:r>
      <w:r>
        <w:t xml:space="preserve">. </w:t>
      </w:r>
    </w:p>
    <w:p w:rsidR="00840DFC" w:rsidRDefault="0046567E">
      <w:pPr>
        <w:spacing w:after="147"/>
        <w:ind w:left="-5"/>
      </w:pPr>
      <w:r>
        <w:t>Primárním cílem je získat co nejefektivnější uložení</w:t>
      </w:r>
      <w:r>
        <w:t xml:space="preserve"> </w:t>
      </w:r>
      <w:r>
        <w:t>všech muzejních exponátů a sbírek</w:t>
      </w:r>
      <w:r>
        <w:t xml:space="preserve">, </w:t>
      </w:r>
      <w:r>
        <w:t>zároveň ale zachovat jednoduchou přístupn</w:t>
      </w:r>
      <w:r>
        <w:t>ost k</w:t>
      </w:r>
      <w:r>
        <w:t xml:space="preserve"> jednotliv</w:t>
      </w:r>
      <w:r>
        <w:t>ým</w:t>
      </w:r>
      <w:r>
        <w:t xml:space="preserve"> </w:t>
      </w:r>
      <w:r>
        <w:t>exponátům, zajistit jejich bezpečnou manipulaci i bezpečné uložení v</w:t>
      </w:r>
      <w:r>
        <w:t xml:space="preserve"> </w:t>
      </w:r>
      <w:r>
        <w:t>jednotlivých typech regálů, to vše</w:t>
      </w:r>
      <w:r>
        <w:t xml:space="preserve"> </w:t>
      </w:r>
      <w:r>
        <w:t>za dodržení všech normovaných uliček a přístupů k</w:t>
      </w:r>
      <w:r>
        <w:t xml:space="preserve"> </w:t>
      </w:r>
      <w:r>
        <w:t>jednotlivým regálům.</w:t>
      </w:r>
      <w:r>
        <w:t xml:space="preserve">  </w:t>
      </w:r>
    </w:p>
    <w:p w:rsidR="00840DFC" w:rsidRDefault="0046567E">
      <w:pPr>
        <w:ind w:left="-5"/>
      </w:pPr>
      <w:r>
        <w:t>N</w:t>
      </w:r>
      <w:r>
        <w:t xml:space="preserve">avrhujeme použití regálového systému, který </w:t>
      </w:r>
      <w:r>
        <w:t>spln</w:t>
      </w:r>
      <w:r>
        <w:t>í</w:t>
      </w:r>
      <w:r>
        <w:t xml:space="preserve"> </w:t>
      </w:r>
      <w:r>
        <w:t>požadavky na komplexní</w:t>
      </w:r>
      <w:r>
        <w:t xml:space="preserve"> </w:t>
      </w:r>
      <w:r>
        <w:t xml:space="preserve">a moderní způsob </w:t>
      </w:r>
      <w:r>
        <w:t xml:space="preserve">archivace a </w:t>
      </w:r>
      <w:r>
        <w:t xml:space="preserve">jehož výroba je certifikována systémem ISO 9001. 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ind w:left="-5"/>
      </w:pPr>
      <w:r>
        <w:t xml:space="preserve">V prostorech 1.NP </w:t>
      </w:r>
      <w:r>
        <w:t>navrhujeme použití posuvných regálů, kde na podvoz</w:t>
      </w:r>
      <w:r>
        <w:t>c</w:t>
      </w:r>
      <w:r>
        <w:t>ích pojíždějících po kolejnicích jsou instalovány různé regálové nástavby.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ind w:left="-5" w:right="649"/>
      </w:pPr>
      <w:r>
        <w:t xml:space="preserve">Nutnou podmínkou pro použití posuvných regálů je dostatečná nosnost podlahy a to jak </w:t>
      </w:r>
      <w:r>
        <w:t xml:space="preserve">v </w:t>
      </w:r>
      <w:r>
        <w:t xml:space="preserve">přízemí nové </w:t>
      </w:r>
      <w:proofErr w:type="gramStart"/>
      <w:r>
        <w:t>budovy tak</w:t>
      </w:r>
      <w:proofErr w:type="gramEnd"/>
      <w:r>
        <w:t xml:space="preserve"> i v</w:t>
      </w:r>
      <w:r>
        <w:t xml:space="preserve"> </w:t>
      </w:r>
      <w:r>
        <w:t>patře.</w:t>
      </w:r>
      <w:r>
        <w:t xml:space="preserve"> </w:t>
      </w:r>
    </w:p>
    <w:p w:rsidR="00840DFC" w:rsidRDefault="0046567E">
      <w:pPr>
        <w:ind w:left="-5"/>
      </w:pPr>
      <w:r>
        <w:t>Pro bezproblémovou funkci regálů předpokládáme nosnost všech podlah ve všech depozitářích minimálně 2000kg/m2.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rPr>
          <w:b/>
        </w:rPr>
        <w:t xml:space="preserve">PODVOZKY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ind w:left="-5"/>
      </w:pPr>
      <w:r>
        <w:t>Podvo</w:t>
      </w:r>
      <w:r>
        <w:t>zky bu</w:t>
      </w:r>
      <w:r>
        <w:t>dou tvořeny svařencem z konstrukční oceli. Uvnitř rámu podvozku budou navařeny osy, ve kterých jsou umístěna pojezdová kola. Osy nesmí být šroubované.</w:t>
      </w:r>
      <w:r>
        <w:t xml:space="preserve"> </w:t>
      </w:r>
    </w:p>
    <w:p w:rsidR="00840DFC" w:rsidRDefault="0046567E">
      <w:pPr>
        <w:ind w:left="-5"/>
      </w:pPr>
      <w:r>
        <w:lastRenderedPageBreak/>
        <w:t>Kola jsou propojena osou na ozubené kolo ovládacího převodu. Ovládání bude zajištěno řetězovým pře</w:t>
      </w:r>
      <w:r>
        <w:t>vodem.</w:t>
      </w:r>
      <w:r>
        <w:t xml:space="preserve"> </w:t>
      </w:r>
      <w:r>
        <w:t>Výška podvozku je 120</w:t>
      </w:r>
      <w:r>
        <w:t xml:space="preserve">-150 mm. </w:t>
      </w:r>
    </w:p>
    <w:p w:rsidR="00840DFC" w:rsidRDefault="0046567E">
      <w:pPr>
        <w:ind w:left="-5"/>
      </w:pPr>
      <w:r>
        <w:t>Kolejnice budou vyrobeny z pozinkované oceli a budou uloženy v podlaze.</w:t>
      </w:r>
      <w:r>
        <w:t xml:space="preserve"> </w:t>
      </w:r>
    </w:p>
    <w:p w:rsidR="00840DFC" w:rsidRDefault="0046567E">
      <w:pPr>
        <w:ind w:left="-5"/>
      </w:pPr>
      <w:r>
        <w:t xml:space="preserve">Kolejnice požadujeme speciálně profilované, všechny stejné a jejich profil slouží k funkci pojistek proti převržení vozů. </w:t>
      </w:r>
      <w:r>
        <w:t xml:space="preserve"> </w:t>
      </w:r>
    </w:p>
    <w:p w:rsidR="00840DFC" w:rsidRDefault="0046567E">
      <w:pPr>
        <w:ind w:left="-5"/>
      </w:pPr>
      <w:r>
        <w:t>Všechny regálové vozy</w:t>
      </w:r>
      <w:r>
        <w:t xml:space="preserve"> jsou vybaveny pojistkami proti převržení vozu.</w:t>
      </w:r>
      <w:r>
        <w:t xml:space="preserve"> </w:t>
      </w:r>
    </w:p>
    <w:p w:rsidR="00840DFC" w:rsidRDefault="0046567E">
      <w:pPr>
        <w:ind w:left="-5"/>
      </w:pPr>
      <w:r>
        <w:t>4 ks na vůz do délky 5000 mm a 6 ks na vůz nad 5000 mm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ind w:left="-5"/>
      </w:pPr>
      <w:r>
        <w:rPr>
          <w:b/>
        </w:rPr>
        <w:t xml:space="preserve">Stavební připravenost </w:t>
      </w:r>
      <w:r>
        <w:t xml:space="preserve">pro montáž kolejnic je následující: hrubý beton v úrovni cca 60 mm pod plánovanou podlahu. Pod kolejnicemi nesmí být umístěno </w:t>
      </w:r>
      <w:proofErr w:type="gramStart"/>
      <w:r>
        <w:t>n</w:t>
      </w:r>
      <w:r>
        <w:t>ic co</w:t>
      </w:r>
      <w:proofErr w:type="gramEnd"/>
      <w:r>
        <w:t xml:space="preserve"> by se mohlo z důsledku zatížení deformovat –</w:t>
      </w:r>
      <w:r>
        <w:t xml:space="preserve"> </w:t>
      </w:r>
      <w:r>
        <w:t xml:space="preserve">polystyrénová izolace, odpadní PVC potrubí, apod. 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840DFC" w:rsidRDefault="0046567E">
      <w:pPr>
        <w:pStyle w:val="Nadpis2"/>
        <w:spacing w:after="1"/>
        <w:ind w:left="-5" w:right="5367"/>
      </w:pPr>
      <w:r>
        <w:t>REGÁLOVÉ NÁDSTAVBY</w:t>
      </w:r>
      <w:r>
        <w:t xml:space="preserve"> - </w:t>
      </w:r>
      <w:r>
        <w:t>policové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ind w:left="-5"/>
      </w:pPr>
      <w:r>
        <w:t xml:space="preserve">Na výše popsané podvozky </w:t>
      </w:r>
      <w:r>
        <w:t xml:space="preserve">bude </w:t>
      </w:r>
      <w:r>
        <w:t>přišroubován vlastní regálový systém.</w:t>
      </w:r>
      <w:r>
        <w:t xml:space="preserve"> </w:t>
      </w:r>
    </w:p>
    <w:p w:rsidR="00840DFC" w:rsidRDefault="0046567E">
      <w:pPr>
        <w:ind w:left="-5"/>
      </w:pPr>
      <w:r>
        <w:t>Systém je</w:t>
      </w:r>
      <w:r>
        <w:t xml:space="preserve"> </w:t>
      </w:r>
      <w:r>
        <w:t>nutné</w:t>
      </w:r>
      <w:r>
        <w:t xml:space="preserve"> </w:t>
      </w:r>
      <w:r>
        <w:t xml:space="preserve">koncipován tak, že na jednom podvozku </w:t>
      </w:r>
      <w:r>
        <w:t xml:space="preserve">budou </w:t>
      </w:r>
      <w:r>
        <w:t xml:space="preserve">umístěné dva regály. </w:t>
      </w:r>
      <w:r>
        <w:t>R</w:t>
      </w:r>
      <w:r>
        <w:t xml:space="preserve">egálový vůz je navrhován jako oboustranný, je možnost samostatného nastavení parametrů regálového systému, tzn. rozteče </w:t>
      </w:r>
      <w:r>
        <w:t xml:space="preserve">polic </w:t>
      </w:r>
      <w:r>
        <w:t>–</w:t>
      </w:r>
      <w:r>
        <w:t xml:space="preserve"> z </w:t>
      </w:r>
      <w:r>
        <w:t xml:space="preserve">každé strany podvozku. 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ind w:left="-5" w:right="286"/>
      </w:pPr>
      <w:r>
        <w:t xml:space="preserve">Systém se skládá z rámů a polic, </w:t>
      </w:r>
      <w:r>
        <w:t xml:space="preserve">kde rámy jsou tvořeny párem uzavřených kovových profilů </w:t>
      </w:r>
      <w:r>
        <w:t xml:space="preserve">s </w:t>
      </w:r>
      <w:r>
        <w:t xml:space="preserve">vysekanými otvory pro háčky polic, spojených horizontálními příčkami. 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ind w:left="-5"/>
      </w:pPr>
      <w:r>
        <w:t>Police plechové, z</w:t>
      </w:r>
      <w:r>
        <w:t xml:space="preserve"> </w:t>
      </w:r>
      <w:r>
        <w:t xml:space="preserve">ocelového plechu </w:t>
      </w:r>
      <w:proofErr w:type="spellStart"/>
      <w:r>
        <w:t>tl</w:t>
      </w:r>
      <w:proofErr w:type="spellEnd"/>
      <w:r>
        <w:t xml:space="preserve">. </w:t>
      </w:r>
      <w:proofErr w:type="gramStart"/>
      <w:r>
        <w:t>min.</w:t>
      </w:r>
      <w:proofErr w:type="gramEnd"/>
      <w:r>
        <w:t xml:space="preserve">0,8mm, třikrát ohraněné pro maximální bezpečnost </w:t>
      </w:r>
      <w:r>
        <w:t xml:space="preserve">obsluhy. Police na 4 </w:t>
      </w:r>
      <w:r>
        <w:t>háčcích</w:t>
      </w:r>
      <w:r>
        <w:t xml:space="preserve"> </w:t>
      </w:r>
      <w:r>
        <w:t>zavěš</w:t>
      </w:r>
      <w:r>
        <w:t>en</w:t>
      </w:r>
      <w:r>
        <w:t>é</w:t>
      </w:r>
      <w:r>
        <w:t xml:space="preserve"> </w:t>
      </w:r>
      <w:r>
        <w:t xml:space="preserve">do rámu. Po osazení polic </w:t>
      </w:r>
      <w:r>
        <w:t xml:space="preserve">budou </w:t>
      </w:r>
      <w:r>
        <w:t>háčky v</w:t>
      </w:r>
      <w:r>
        <w:t xml:space="preserve"> </w:t>
      </w:r>
      <w:r>
        <w:t>policích zcela skryté a nemohou tudíž nijak poškodit ukládané archiválie.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ind w:left="-5"/>
      </w:pPr>
      <w:r>
        <w:t xml:space="preserve">Z čelní strany </w:t>
      </w:r>
      <w:r>
        <w:t xml:space="preserve">bude </w:t>
      </w:r>
      <w:r>
        <w:t>regálový systém opatřen plným plechovým krytem ovládání a podvozku pro umístění identifikačních informací o je</w:t>
      </w:r>
      <w:r>
        <w:t xml:space="preserve">dnotlivých řadách.) </w:t>
      </w:r>
      <w:r>
        <w:t xml:space="preserve"> </w:t>
      </w:r>
    </w:p>
    <w:p w:rsidR="00840DFC" w:rsidRDefault="0046567E">
      <w:pPr>
        <w:ind w:left="-5"/>
      </w:pPr>
      <w:r>
        <w:t xml:space="preserve">Stabilita </w:t>
      </w:r>
      <w:r>
        <w:t>celého regál</w:t>
      </w:r>
      <w:r>
        <w:t xml:space="preserve">u </w:t>
      </w:r>
      <w:r>
        <w:t xml:space="preserve">systému </w:t>
      </w:r>
      <w:r>
        <w:t xml:space="preserve">bude </w:t>
      </w:r>
      <w:r>
        <w:t>zabezpečena křížovým zavětrováním</w:t>
      </w:r>
      <w:r>
        <w:t xml:space="preserve"> </w:t>
      </w:r>
      <w:r>
        <w:t>vybaveným napínákem pro dotažení.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ind w:left="-5" w:right="1162"/>
      </w:pPr>
      <w:r>
        <w:lastRenderedPageBreak/>
        <w:t xml:space="preserve">Povrchová úprava regálového systému: je provedena vypalovací práškovou barvou v následujícím barevném provedení </w:t>
      </w:r>
      <w:r>
        <w:t xml:space="preserve"> - </w:t>
      </w:r>
      <w:r>
        <w:t>podvozky tm</w:t>
      </w:r>
      <w:r>
        <w:t>avě šedá R</w:t>
      </w:r>
      <w:r>
        <w:t xml:space="preserve">AL 7021 - </w:t>
      </w:r>
      <w:r>
        <w:t>regálové rámy tmavě šedá RAL 7016</w:t>
      </w:r>
      <w:r>
        <w:t xml:space="preserve"> - </w:t>
      </w:r>
      <w:r>
        <w:t xml:space="preserve">police světle šedá RAL 7035. </w:t>
      </w:r>
      <w:r>
        <w:t xml:space="preserve"> </w:t>
      </w:r>
    </w:p>
    <w:p w:rsidR="00840DFC" w:rsidRDefault="0046567E">
      <w:pPr>
        <w:ind w:left="-5"/>
      </w:pPr>
      <w:r>
        <w:t xml:space="preserve">- </w:t>
      </w:r>
      <w:r>
        <w:t xml:space="preserve">plné čelní </w:t>
      </w:r>
      <w:r>
        <w:t xml:space="preserve">kryty </w:t>
      </w:r>
      <w:r>
        <w:t>světle</w:t>
      </w:r>
      <w:r>
        <w:t xml:space="preserve"> </w:t>
      </w:r>
      <w:r>
        <w:t>šedá RAL 7035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840DFC" w:rsidRDefault="0046567E">
      <w:pPr>
        <w:ind w:left="-5"/>
      </w:pPr>
      <w:r>
        <w:t xml:space="preserve">Vozy budou oboustranně využitelné s regálovou nástavbou 2x </w:t>
      </w:r>
      <w:r>
        <w:t xml:space="preserve">500 mm hloubky.  </w:t>
      </w:r>
    </w:p>
    <w:p w:rsidR="00840DFC" w:rsidRDefault="0046567E">
      <w:pPr>
        <w:ind w:left="-5"/>
      </w:pPr>
      <w:r>
        <w:t>Na jednom podvozku dva na sobě nezávislé regály –</w:t>
      </w:r>
      <w:r>
        <w:t xml:space="preserve"> </w:t>
      </w:r>
      <w:r>
        <w:t xml:space="preserve">možnost jiného nastavení polic z levé a pravé strany vozu = jednoznačně vyšší komfort. </w:t>
      </w:r>
      <w:r>
        <w:t xml:space="preserve"> </w:t>
      </w:r>
    </w:p>
    <w:p w:rsidR="00840DFC" w:rsidRDefault="0046567E">
      <w:pPr>
        <w:ind w:left="-5"/>
      </w:pPr>
      <w:r>
        <w:t>V modulu posuvných i stacionárních regálů je vždy příslušný počet úložných polic + krycí police.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840DFC" w:rsidRDefault="0046567E">
      <w:pPr>
        <w:tabs>
          <w:tab w:val="center" w:pos="2833"/>
          <w:tab w:val="center" w:pos="3541"/>
          <w:tab w:val="center" w:pos="4827"/>
        </w:tabs>
        <w:ind w:left="-15" w:firstLine="0"/>
      </w:pPr>
      <w:r>
        <w:t>Nosnost každé po</w:t>
      </w:r>
      <w:r>
        <w:t xml:space="preserve">lice  </w:t>
      </w:r>
      <w:r>
        <w:tab/>
        <w:t xml:space="preserve"> </w:t>
      </w:r>
      <w:r>
        <w:tab/>
        <w:t xml:space="preserve"> </w:t>
      </w:r>
      <w:r>
        <w:tab/>
        <w:t xml:space="preserve">min. 100 kg  </w:t>
      </w:r>
    </w:p>
    <w:p w:rsidR="00840DFC" w:rsidRDefault="0046567E">
      <w:pPr>
        <w:tabs>
          <w:tab w:val="center" w:pos="2833"/>
          <w:tab w:val="center" w:pos="3541"/>
          <w:tab w:val="center" w:pos="4640"/>
        </w:tabs>
        <w:ind w:left="-15" w:firstLine="0"/>
      </w:pPr>
      <w:r>
        <w:t>Nosnost rámu</w:t>
      </w:r>
      <w:r>
        <w:t xml:space="preserve">           </w:t>
      </w:r>
      <w:r>
        <w:tab/>
        <w:t xml:space="preserve"> </w:t>
      </w:r>
      <w:r>
        <w:tab/>
        <w:t xml:space="preserve"> </w:t>
      </w:r>
      <w:r>
        <w:tab/>
        <w:t xml:space="preserve">1500 kg </w:t>
      </w:r>
    </w:p>
    <w:p w:rsidR="00840DFC" w:rsidRDefault="0046567E">
      <w:pPr>
        <w:pStyle w:val="Nadpis3"/>
        <w:tabs>
          <w:tab w:val="center" w:pos="2124"/>
          <w:tab w:val="center" w:pos="2833"/>
          <w:tab w:val="center" w:pos="3541"/>
          <w:tab w:val="center" w:pos="5067"/>
        </w:tabs>
        <w:ind w:left="-15" w:firstLine="0"/>
      </w:pPr>
      <w:r>
        <w:t xml:space="preserve">Nosnost podvozku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600 kg na modul  </w:t>
      </w:r>
    </w:p>
    <w:p w:rsidR="00840DFC" w:rsidRDefault="0046567E">
      <w:pPr>
        <w:spacing w:after="0" w:line="259" w:lineRule="auto"/>
        <w:ind w:left="0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840DFC" w:rsidRDefault="0046567E">
      <w:pPr>
        <w:ind w:left="-5"/>
      </w:pPr>
      <w:r>
        <w:t>Jednotlivé délky, hloubky a výšky regálových vozů</w:t>
      </w:r>
      <w:r>
        <w:t xml:space="preserve"> </w:t>
      </w:r>
      <w:r>
        <w:t xml:space="preserve">i stacionárních regálů, jakož i počet a rozteče polic jsou pro každou místnost uvedeny ve výkresové </w:t>
      </w:r>
      <w:r>
        <w:t xml:space="preserve">dokumentaci.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spacing w:after="159"/>
        <w:ind w:left="-5"/>
      </w:pPr>
      <w:r>
        <w:t>Posun vozu bu</w:t>
      </w:r>
      <w:r>
        <w:t>de zajištěn řetězovým převodem a vůz je uváděn do pohybu otáčením volantu na příslušnou stranu. Převod musí být nastaven tak, aby bylo možné bez námahy uvést do pohybu jeden i několik plně založených vozů.</w:t>
      </w:r>
      <w:r>
        <w:t xml:space="preserve"> </w:t>
      </w:r>
    </w:p>
    <w:p w:rsidR="0046567E" w:rsidRDefault="0046567E">
      <w:pPr>
        <w:spacing w:after="0" w:line="259" w:lineRule="auto"/>
        <w:ind w:left="0" w:firstLine="0"/>
      </w:pP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pStyle w:val="Nadpis2"/>
        <w:spacing w:after="1"/>
        <w:ind w:left="-5" w:right="5367"/>
      </w:pPr>
      <w:r>
        <w:t>POŽADAVKY NA VYBAVENÍ REGÁLŮ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840DFC" w:rsidRDefault="0046567E">
      <w:pPr>
        <w:spacing w:after="147"/>
        <w:ind w:left="-5"/>
      </w:pPr>
      <w:r>
        <w:rPr>
          <w:b/>
        </w:rPr>
        <w:t xml:space="preserve">Všechny úložné regálové police </w:t>
      </w:r>
      <w:r>
        <w:t xml:space="preserve">musí být vybaveny kobercovou výplní, kterou schválí </w:t>
      </w:r>
      <w:r>
        <w:t xml:space="preserve">investor </w:t>
      </w:r>
    </w:p>
    <w:p w:rsidR="00840DFC" w:rsidRDefault="0046567E">
      <w:pPr>
        <w:ind w:left="-5"/>
      </w:pPr>
      <w:r>
        <w:t>Součástí regálového systému jsou také štítky</w:t>
      </w:r>
      <w:r>
        <w:t xml:space="preserve"> nosnosti s </w:t>
      </w:r>
      <w:r>
        <w:t>počt</w:t>
      </w:r>
      <w:r>
        <w:t xml:space="preserve">em </w:t>
      </w:r>
      <w:r>
        <w:t>polic ve sloupci. Štítky budou umístěné minimálně na prvním modulu každého regálu –</w:t>
      </w:r>
      <w:r>
        <w:t xml:space="preserve"> </w:t>
      </w:r>
      <w:r>
        <w:t>u posuvných vozů</w:t>
      </w:r>
      <w:r>
        <w:t xml:space="preserve"> z</w:t>
      </w:r>
      <w:r>
        <w:t xml:space="preserve"> </w:t>
      </w:r>
      <w:r>
        <w:t>každé strany vozu ve výšce očí</w:t>
      </w:r>
      <w:r>
        <w:t xml:space="preserve">. </w:t>
      </w:r>
    </w:p>
    <w:p w:rsidR="00840DFC" w:rsidRDefault="0046567E">
      <w:pPr>
        <w:ind w:left="-5"/>
      </w:pPr>
      <w:r>
        <w:t>Dále také návody k</w:t>
      </w:r>
      <w:r>
        <w:t xml:space="preserve"> </w:t>
      </w:r>
      <w:r>
        <w:t>obsluze a bezpečností pokyny při obsluze regálů v</w:t>
      </w:r>
      <w:r>
        <w:t xml:space="preserve"> </w:t>
      </w:r>
      <w:r>
        <w:t>českém jazyce.</w:t>
      </w:r>
      <w:r>
        <w:t xml:space="preserve"> </w:t>
      </w:r>
    </w:p>
    <w:p w:rsidR="00840DFC" w:rsidRDefault="0046567E">
      <w:pPr>
        <w:spacing w:after="159" w:line="259" w:lineRule="auto"/>
        <w:ind w:left="0" w:firstLine="0"/>
      </w:pPr>
      <w:r>
        <w:rPr>
          <w:b/>
        </w:rPr>
        <w:t xml:space="preserve"> </w:t>
      </w:r>
    </w:p>
    <w:p w:rsidR="00840DFC" w:rsidRDefault="0046567E">
      <w:pPr>
        <w:pStyle w:val="Nadpis2"/>
        <w:ind w:left="-5" w:right="5367"/>
      </w:pPr>
      <w:r>
        <w:lastRenderedPageBreak/>
        <w:t>REGÁLOVÉ NÁDSTAVBY –</w:t>
      </w:r>
      <w:r>
        <w:t xml:space="preserve"> </w:t>
      </w:r>
      <w:r>
        <w:t>paletové</w:t>
      </w:r>
      <w:r>
        <w:t xml:space="preserve"> </w:t>
      </w:r>
    </w:p>
    <w:p w:rsidR="00840DFC" w:rsidRDefault="0046567E">
      <w:pPr>
        <w:spacing w:after="159"/>
        <w:ind w:left="-5"/>
      </w:pPr>
      <w:r>
        <w:t>Rámy jsou tvořeny dvěma stojinami svinutými do omega profilu s rastrem pro zachycení nosníků po 50 mm.</w:t>
      </w:r>
      <w:r>
        <w:t xml:space="preserve"> Uvnitř rámu jsou umístěny horizontální a diagonální spojky. Stojina je zakončena kovovou patkou pro šroubové spojení s</w:t>
      </w:r>
      <w:r>
        <w:t xml:space="preserve"> podvozkem</w:t>
      </w:r>
      <w:r>
        <w:t xml:space="preserve">. Rámy jsou lakovány vypalovací </w:t>
      </w:r>
      <w:r>
        <w:t xml:space="preserve">barvou.  </w:t>
      </w:r>
    </w:p>
    <w:p w:rsidR="00840DFC" w:rsidRDefault="0046567E">
      <w:pPr>
        <w:spacing w:after="159"/>
        <w:ind w:left="-5"/>
      </w:pPr>
      <w:r>
        <w:t xml:space="preserve">Barevná úprava rámů: modrá RAL 5015 </w:t>
      </w:r>
      <w:r>
        <w:t xml:space="preserve"> </w:t>
      </w:r>
    </w:p>
    <w:p w:rsidR="00840DFC" w:rsidRDefault="0046567E">
      <w:pPr>
        <w:spacing w:after="159"/>
        <w:ind w:left="-5"/>
      </w:pPr>
      <w:r>
        <w:t xml:space="preserve">Nosníky jsou taktéž svinuty </w:t>
      </w:r>
      <w:r>
        <w:t xml:space="preserve">z </w:t>
      </w:r>
      <w:r>
        <w:t>plechu do obdélní</w:t>
      </w:r>
      <w:r>
        <w:t>kového tvaru kde výška profilu je určující pro nosnost nosníků.</w:t>
      </w:r>
      <w:r>
        <w:t xml:space="preserve"> </w:t>
      </w:r>
    </w:p>
    <w:p w:rsidR="00840DFC" w:rsidRDefault="0046567E">
      <w:pPr>
        <w:spacing w:after="158"/>
        <w:ind w:left="-5"/>
      </w:pPr>
      <w:r>
        <w:t>Na koncích nosníků jsou navařeny zachytávače pro zaklesnutí do otvorů ve stojinách.</w:t>
      </w:r>
      <w:r>
        <w:t xml:space="preserve"> </w:t>
      </w:r>
    </w:p>
    <w:p w:rsidR="00840DFC" w:rsidRDefault="0046567E">
      <w:pPr>
        <w:spacing w:after="160"/>
        <w:ind w:left="-5"/>
      </w:pPr>
      <w:r>
        <w:t xml:space="preserve">Nosníky jsou lakovány vypalovací barvou. </w:t>
      </w:r>
      <w:r>
        <w:t xml:space="preserve"> </w:t>
      </w:r>
    </w:p>
    <w:p w:rsidR="00840DFC" w:rsidRDefault="0046567E">
      <w:pPr>
        <w:ind w:left="-5"/>
      </w:pPr>
      <w:r>
        <w:t>Barevná úprava nosníků: oranžová RAL 2004.</w:t>
      </w:r>
      <w:r>
        <w:t xml:space="preserve"> </w:t>
      </w:r>
    </w:p>
    <w:p w:rsidR="0046567E" w:rsidRDefault="0046567E">
      <w:pPr>
        <w:ind w:left="-5"/>
      </w:pPr>
    </w:p>
    <w:p w:rsidR="0046567E" w:rsidRDefault="0046567E">
      <w:pPr>
        <w:pStyle w:val="Nadpis2"/>
        <w:ind w:left="-5" w:right="5367"/>
      </w:pPr>
    </w:p>
    <w:p w:rsidR="00840DFC" w:rsidRDefault="0046567E">
      <w:pPr>
        <w:pStyle w:val="Nadpis2"/>
        <w:ind w:left="-5" w:right="5367"/>
      </w:pPr>
      <w:r>
        <w:t>VÝPLNĚ PALETOVÝCH R</w:t>
      </w:r>
      <w:r>
        <w:t>EGÁLŮ</w:t>
      </w:r>
      <w:r>
        <w:t xml:space="preserve"> </w:t>
      </w:r>
    </w:p>
    <w:p w:rsidR="00840DFC" w:rsidRDefault="0046567E">
      <w:pPr>
        <w:spacing w:after="158"/>
        <w:ind w:left="-5"/>
      </w:pPr>
      <w:r>
        <w:t xml:space="preserve">Všechny moduly a ukládací úrovně budou vybaveny voděodolnou překližkou </w:t>
      </w:r>
      <w:proofErr w:type="spellStart"/>
      <w:r>
        <w:t>tl</w:t>
      </w:r>
      <w:proofErr w:type="spellEnd"/>
      <w:r>
        <w:t xml:space="preserve">. 15mm </w:t>
      </w:r>
      <w:r>
        <w:t xml:space="preserve">umístěnou na podvozcích, resp. </w:t>
      </w:r>
      <w:r>
        <w:t>n</w:t>
      </w:r>
      <w:r>
        <w:t>a nosnících tak, aby nevznikali žádné nero</w:t>
      </w:r>
      <w:r>
        <w:t xml:space="preserve">vnosti. Desky budou </w:t>
      </w:r>
      <w:r>
        <w:t>v relevantních místech podepřeny</w:t>
      </w:r>
      <w:r>
        <w:t xml:space="preserve"> </w:t>
      </w:r>
      <w:r>
        <w:t>příčníky tak, aby byla dodržena nosnost vš</w:t>
      </w:r>
      <w:r>
        <w:t>ech ukládacích úrovní min 150 kg na 1 m2.</w:t>
      </w:r>
      <w:r>
        <w:t xml:space="preserve"> </w:t>
      </w:r>
    </w:p>
    <w:p w:rsidR="00840DFC" w:rsidRDefault="0046567E">
      <w:pPr>
        <w:tabs>
          <w:tab w:val="center" w:pos="3541"/>
          <w:tab w:val="center" w:pos="4249"/>
          <w:tab w:val="center" w:pos="5348"/>
        </w:tabs>
        <w:spacing w:after="0" w:line="259" w:lineRule="auto"/>
        <w:ind w:left="-15" w:firstLine="0"/>
      </w:pPr>
      <w:r>
        <w:t xml:space="preserve">Nosnost </w:t>
      </w:r>
      <w:r>
        <w:t xml:space="preserve">páru nosníků </w:t>
      </w:r>
      <w:r>
        <w:t xml:space="preserve">2500  </w:t>
      </w:r>
      <w:r>
        <w:tab/>
        <w:t xml:space="preserve"> </w:t>
      </w:r>
      <w:r>
        <w:tab/>
        <w:t xml:space="preserve"> </w:t>
      </w:r>
      <w:r>
        <w:tab/>
        <w:t xml:space="preserve">1500 kg  </w:t>
      </w:r>
    </w:p>
    <w:p w:rsidR="00840DFC" w:rsidRDefault="0046567E">
      <w:pPr>
        <w:spacing w:after="0" w:line="259" w:lineRule="auto"/>
        <w:ind w:left="0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:rsidR="0046567E" w:rsidRDefault="0046567E">
      <w:pPr>
        <w:pStyle w:val="Nadpis2"/>
        <w:ind w:left="-5" w:right="5367"/>
      </w:pPr>
    </w:p>
    <w:p w:rsidR="00840DFC" w:rsidRDefault="0046567E">
      <w:pPr>
        <w:pStyle w:val="Nadpis2"/>
        <w:ind w:left="-5" w:right="5367"/>
      </w:pPr>
      <w:r>
        <w:t>REGÁLY S</w:t>
      </w:r>
      <w:r>
        <w:t xml:space="preserve"> </w:t>
      </w:r>
      <w:r>
        <w:t>DĚLÍCÍ STĚNOU</w:t>
      </w:r>
      <w:r>
        <w:t xml:space="preserve"> </w:t>
      </w:r>
    </w:p>
    <w:p w:rsidR="00840DFC" w:rsidRDefault="0046567E">
      <w:pPr>
        <w:spacing w:after="158"/>
        <w:ind w:left="-5"/>
      </w:pPr>
      <w:r>
        <w:t>Posuvné regály budou opatřeny plnou podlahou z</w:t>
      </w:r>
      <w:r>
        <w:t xml:space="preserve"> </w:t>
      </w:r>
      <w:r>
        <w:t xml:space="preserve">voděodolné překližky </w:t>
      </w:r>
      <w:proofErr w:type="spellStart"/>
      <w:r>
        <w:t>tl</w:t>
      </w:r>
      <w:proofErr w:type="spellEnd"/>
      <w:r>
        <w:t>. 15mm.</w:t>
      </w:r>
      <w:r>
        <w:t xml:space="preserve"> </w:t>
      </w:r>
    </w:p>
    <w:p w:rsidR="00840DFC" w:rsidRDefault="0046567E">
      <w:pPr>
        <w:spacing w:after="161"/>
        <w:ind w:left="-5"/>
      </w:pPr>
      <w:r>
        <w:t>Uprostřed budou osazeny dělící stěnou tvořenou rámem a vyplněny ocelovou sítí</w:t>
      </w:r>
      <w:r>
        <w:t xml:space="preserve"> </w:t>
      </w:r>
    </w:p>
    <w:p w:rsidR="00840DFC" w:rsidRDefault="0046567E">
      <w:pPr>
        <w:spacing w:after="159"/>
        <w:ind w:left="-5"/>
      </w:pPr>
      <w:r>
        <w:t xml:space="preserve">Rám sít bude tvořen z </w:t>
      </w:r>
      <w:proofErr w:type="spellStart"/>
      <w:r>
        <w:t>jaklu</w:t>
      </w:r>
      <w:proofErr w:type="spellEnd"/>
      <w:r>
        <w:t xml:space="preserve"> </w:t>
      </w:r>
      <w:r>
        <w:t>40</w:t>
      </w:r>
      <w:r>
        <w:t>x40x1, ve kterém bud navařen</w:t>
      </w:r>
      <w:r>
        <w:t xml:space="preserve">a </w:t>
      </w:r>
      <w:r>
        <w:t>ocelová síť ( ne betonářská )</w:t>
      </w:r>
      <w:r>
        <w:t xml:space="preserve"> s </w:t>
      </w:r>
      <w:proofErr w:type="spellStart"/>
      <w:r>
        <w:t>pr</w:t>
      </w:r>
      <w:proofErr w:type="spellEnd"/>
      <w:r>
        <w:t xml:space="preserve">. </w:t>
      </w:r>
      <w:proofErr w:type="gramStart"/>
      <w:r>
        <w:t>drátu</w:t>
      </w:r>
      <w:proofErr w:type="gramEnd"/>
      <w:r>
        <w:t xml:space="preserve"> min 4mm a oky 100 x 100 mm. A to z důvodu Možného zajištění soch.</w:t>
      </w:r>
      <w:r>
        <w:rPr>
          <w:b/>
        </w:rPr>
        <w:t xml:space="preserve"> </w:t>
      </w:r>
      <w:r>
        <w:t>Povrchová</w:t>
      </w:r>
      <w:r>
        <w:t xml:space="preserve"> úprava těchto sít bude provedena vypalovací práškovou barvou tmavě šedá RAL 7016. </w:t>
      </w:r>
      <w:r>
        <w:t xml:space="preserve"> </w:t>
      </w:r>
    </w:p>
    <w:p w:rsidR="0046567E" w:rsidRDefault="0046567E">
      <w:pPr>
        <w:pStyle w:val="Nadpis2"/>
        <w:ind w:left="-5" w:right="5367"/>
      </w:pPr>
    </w:p>
    <w:p w:rsidR="00840DFC" w:rsidRDefault="0046567E">
      <w:pPr>
        <w:pStyle w:val="Nadpis2"/>
        <w:ind w:left="-5" w:right="5367"/>
      </w:pPr>
      <w:r>
        <w:t>POŽADAVKY NA VYBAVENÍ REGÁLŮ</w:t>
      </w:r>
      <w:r>
        <w:t xml:space="preserve"> </w:t>
      </w:r>
      <w:r>
        <w:rPr>
          <w:b w:val="0"/>
        </w:rPr>
        <w:t xml:space="preserve"> </w:t>
      </w:r>
    </w:p>
    <w:p w:rsidR="00840DFC" w:rsidRDefault="0046567E">
      <w:pPr>
        <w:spacing w:line="399" w:lineRule="auto"/>
        <w:ind w:left="-5" w:right="176"/>
      </w:pPr>
      <w:r>
        <w:rPr>
          <w:b/>
        </w:rPr>
        <w:t xml:space="preserve">Všechny posuvné regály </w:t>
      </w:r>
      <w:r>
        <w:t xml:space="preserve">musí být vybaveny upínacími gumami. Každý vůz min. 20 </w:t>
      </w:r>
      <w:proofErr w:type="gramStart"/>
      <w:r>
        <w:t xml:space="preserve">ks. </w:t>
      </w:r>
      <w:r>
        <w:t xml:space="preserve"> </w:t>
      </w:r>
      <w:r>
        <w:t>min.</w:t>
      </w:r>
      <w:proofErr w:type="gramEnd"/>
      <w:r>
        <w:t xml:space="preserve"> délka 1000 mm</w:t>
      </w:r>
      <w:r>
        <w:t xml:space="preserve"> </w:t>
      </w:r>
    </w:p>
    <w:p w:rsidR="00840DFC" w:rsidRDefault="0046567E">
      <w:pPr>
        <w:pStyle w:val="Nadpis2"/>
        <w:ind w:left="-5" w:right="5367"/>
      </w:pPr>
      <w:r>
        <w:lastRenderedPageBreak/>
        <w:t>STACIONÁRNÍ REGÁLY</w:t>
      </w:r>
      <w:r>
        <w:t xml:space="preserve"> </w:t>
      </w:r>
    </w:p>
    <w:p w:rsidR="00840DFC" w:rsidRDefault="0046567E">
      <w:pPr>
        <w:ind w:left="-5" w:right="287"/>
      </w:pPr>
      <w:r>
        <w:t>Systém se skládá z</w:t>
      </w:r>
      <w:r>
        <w:t xml:space="preserve"> rámů a polic, kde rámy jsou tvořeny párem uzavřených kovových profilů </w:t>
      </w:r>
      <w:r>
        <w:t xml:space="preserve">s </w:t>
      </w:r>
      <w:r>
        <w:t xml:space="preserve">vysekanými otvory pro háčky polic, spojených horizontálními příčkami. 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ind w:left="-5"/>
      </w:pPr>
      <w:r>
        <w:t>Police plechové, z</w:t>
      </w:r>
      <w:r>
        <w:t xml:space="preserve"> </w:t>
      </w:r>
      <w:r>
        <w:t xml:space="preserve">ocelového plechu </w:t>
      </w:r>
      <w:proofErr w:type="spellStart"/>
      <w:r>
        <w:t>tl</w:t>
      </w:r>
      <w:proofErr w:type="spellEnd"/>
      <w:r>
        <w:t xml:space="preserve">. </w:t>
      </w:r>
      <w:proofErr w:type="gramStart"/>
      <w:r>
        <w:t>min.</w:t>
      </w:r>
      <w:proofErr w:type="gramEnd"/>
      <w:r>
        <w:t xml:space="preserve">0,8mm, třikrát ohraněné pro maximální bezpečnost </w:t>
      </w:r>
      <w:r>
        <w:t xml:space="preserve">obsluhy. Police </w:t>
      </w:r>
      <w:r>
        <w:t xml:space="preserve">na 4 </w:t>
      </w:r>
      <w:r>
        <w:t>háčcích</w:t>
      </w:r>
      <w:r>
        <w:t xml:space="preserve"> </w:t>
      </w:r>
      <w:r>
        <w:t>zavěšené</w:t>
      </w:r>
      <w:r>
        <w:t xml:space="preserve"> </w:t>
      </w:r>
      <w:r>
        <w:t xml:space="preserve">do rámu. Po osazení polic </w:t>
      </w:r>
      <w:r>
        <w:t xml:space="preserve">budou </w:t>
      </w:r>
      <w:r>
        <w:t>háčky v</w:t>
      </w:r>
      <w:r>
        <w:t xml:space="preserve"> </w:t>
      </w:r>
      <w:r>
        <w:t>policích zcela skryté a nemohou tudíž nijak poškodit ukládané archiválie.</w:t>
      </w:r>
      <w:r>
        <w:t xml:space="preserve"> </w:t>
      </w:r>
    </w:p>
    <w:p w:rsidR="00840DFC" w:rsidRDefault="0046567E">
      <w:pPr>
        <w:spacing w:after="156" w:line="259" w:lineRule="auto"/>
        <w:ind w:left="0" w:firstLine="0"/>
      </w:pPr>
      <w:r>
        <w:rPr>
          <w:b/>
        </w:rPr>
        <w:t xml:space="preserve"> </w:t>
      </w:r>
    </w:p>
    <w:p w:rsidR="00840DFC" w:rsidRDefault="0046567E">
      <w:pPr>
        <w:spacing w:after="159"/>
        <w:ind w:left="-5"/>
      </w:pPr>
      <w:r>
        <w:rPr>
          <w:b/>
        </w:rPr>
        <w:t xml:space="preserve">Všechny úložné regálové police </w:t>
      </w:r>
      <w:r>
        <w:t xml:space="preserve">musí být vybaveny kobercovou výplní, kterou schválí </w:t>
      </w:r>
      <w:r>
        <w:t xml:space="preserve">investor </w:t>
      </w:r>
    </w:p>
    <w:p w:rsidR="00840DFC" w:rsidRDefault="0046567E">
      <w:pPr>
        <w:spacing w:after="158"/>
        <w:ind w:left="-5"/>
      </w:pPr>
      <w:r>
        <w:t>Součástí regálového syst</w:t>
      </w:r>
      <w:r>
        <w:t>ému jsou také štítky</w:t>
      </w:r>
      <w:r>
        <w:t xml:space="preserve"> nosnosti s </w:t>
      </w:r>
      <w:r>
        <w:t>počt</w:t>
      </w:r>
      <w:r>
        <w:t xml:space="preserve">em </w:t>
      </w:r>
      <w:r>
        <w:t>polic ve sloupci. Štítky budou umístěné minimálně na prvním modulu každého regál</w:t>
      </w:r>
      <w:r>
        <w:t>.</w:t>
      </w:r>
      <w:r>
        <w:rPr>
          <w:b/>
        </w:rPr>
        <w:t xml:space="preserve"> </w:t>
      </w:r>
    </w:p>
    <w:p w:rsidR="00840DFC" w:rsidRDefault="0046567E">
      <w:pPr>
        <w:pStyle w:val="Nadpis2"/>
        <w:ind w:left="-5" w:right="5367"/>
      </w:pPr>
      <w:r>
        <w:t>OSVĚTLENÍ</w:t>
      </w:r>
      <w:r>
        <w:t xml:space="preserve"> </w:t>
      </w:r>
    </w:p>
    <w:p w:rsidR="00840DFC" w:rsidRDefault="0046567E">
      <w:pPr>
        <w:spacing w:after="159"/>
        <w:ind w:left="-5"/>
      </w:pPr>
      <w:r>
        <w:t xml:space="preserve">V </w:t>
      </w:r>
      <w:r>
        <w:t>rámci návrhu regálů doporučujeme využití LED světel umístěných v</w:t>
      </w:r>
      <w:r>
        <w:t xml:space="preserve"> </w:t>
      </w:r>
      <w:r>
        <w:t>každé místnosti vždy ve směru kolejnic. První řada svítidel by měla být umístěna v</w:t>
      </w:r>
      <w:r>
        <w:t xml:space="preserve"> </w:t>
      </w:r>
      <w:r>
        <w:t xml:space="preserve">uličce před regály a pak dále dle požadavku na </w:t>
      </w:r>
      <w:r>
        <w:t xml:space="preserve">intenzitu </w:t>
      </w:r>
      <w:r>
        <w:t>osvětlení</w:t>
      </w:r>
      <w:r>
        <w:t xml:space="preserve">. </w:t>
      </w:r>
    </w:p>
    <w:p w:rsidR="00840DFC" w:rsidRDefault="0046567E">
      <w:pPr>
        <w:spacing w:after="159"/>
        <w:ind w:left="-5"/>
      </w:pPr>
      <w:r>
        <w:t xml:space="preserve">Poloha </w:t>
      </w:r>
      <w:r>
        <w:t>a rozmístění</w:t>
      </w:r>
      <w:r>
        <w:t xml:space="preserve"> </w:t>
      </w:r>
      <w:r>
        <w:t>svítidel, jakož i jejich typ</w:t>
      </w:r>
      <w:r>
        <w:t xml:space="preserve"> je </w:t>
      </w:r>
      <w:r>
        <w:t>řešeno</w:t>
      </w:r>
      <w:r>
        <w:t xml:space="preserve"> </w:t>
      </w:r>
      <w:r>
        <w:t>ve výkresové dokumentaci</w:t>
      </w:r>
      <w:r>
        <w:t xml:space="preserve"> v </w:t>
      </w:r>
      <w:r>
        <w:t xml:space="preserve">rámci </w:t>
      </w:r>
      <w:r>
        <w:t xml:space="preserve">projektu </w:t>
      </w:r>
      <w:r>
        <w:t xml:space="preserve">stavby. </w:t>
      </w:r>
    </w:p>
    <w:p w:rsidR="00840DFC" w:rsidRDefault="0046567E">
      <w:pPr>
        <w:spacing w:after="159"/>
        <w:ind w:left="-5"/>
      </w:pPr>
      <w:r>
        <w:t>Jednotlivé typy regálů, jejich počty, celkové rozměry, rozměry polic, jejich počty nad sebou ve sloupci, dále použití zásuvek, výsuvných polic, sít a dalších doplňků a taktéž rozměry paletových regálů, délky nosníků, výšky konzolových regálů, poče</w:t>
      </w:r>
      <w:r>
        <w:t>t a vyložení konzol –</w:t>
      </w:r>
      <w:r>
        <w:t xml:space="preserve"> </w:t>
      </w:r>
      <w:r>
        <w:t xml:space="preserve">vše je uvedeno ve výkresové dokumentaci a výkazu výměr. </w:t>
      </w:r>
      <w:r>
        <w:t xml:space="preserve"> </w:t>
      </w:r>
    </w:p>
    <w:p w:rsidR="00840DFC" w:rsidRDefault="0046567E">
      <w:pPr>
        <w:spacing w:after="0" w:line="259" w:lineRule="auto"/>
        <w:ind w:left="0" w:firstLine="0"/>
      </w:pPr>
      <w:r>
        <w:t xml:space="preserve"> </w:t>
      </w:r>
    </w:p>
    <w:p w:rsidR="00840DFC" w:rsidRDefault="0046567E">
      <w:pPr>
        <w:spacing w:after="157" w:line="259" w:lineRule="auto"/>
        <w:ind w:left="0" w:firstLine="0"/>
      </w:pPr>
      <w:r>
        <w:t xml:space="preserve"> </w:t>
      </w:r>
    </w:p>
    <w:p w:rsidR="00840DFC" w:rsidRDefault="0046567E">
      <w:pPr>
        <w:pStyle w:val="Nadpis3"/>
        <w:spacing w:after="156"/>
        <w:ind w:left="-5"/>
      </w:pPr>
      <w:r>
        <w:t xml:space="preserve">V </w:t>
      </w:r>
      <w:r>
        <w:t xml:space="preserve">Brně dne </w:t>
      </w:r>
      <w:proofErr w:type="gramStart"/>
      <w:r>
        <w:t>31.7.2023</w:t>
      </w:r>
      <w:proofErr w:type="gramEnd"/>
      <w:r>
        <w:t xml:space="preserve"> </w:t>
      </w:r>
      <w:r>
        <w:br/>
        <w:t>Revize 07/2024</w:t>
      </w:r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58"/>
        <w:ind w:left="-5"/>
      </w:pPr>
      <w:r>
        <w:lastRenderedPageBreak/>
        <w:t xml:space="preserve">Zpracoval: </w:t>
      </w:r>
      <w:r>
        <w:t>Jaromír Nekvapil</w:t>
      </w:r>
      <w:r>
        <w:t xml:space="preserve"> </w:t>
      </w:r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57" w:line="259" w:lineRule="auto"/>
        <w:ind w:left="0" w:firstLine="0"/>
      </w:pPr>
      <w:r>
        <w:t xml:space="preserve"> </w:t>
      </w:r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59" w:line="259" w:lineRule="auto"/>
        <w:ind w:left="0" w:firstLine="0"/>
      </w:pPr>
      <w:r>
        <w:t xml:space="preserve"> </w:t>
      </w:r>
    </w:p>
    <w:p w:rsidR="00840DFC" w:rsidRDefault="00840DFC" w:rsidP="0046567E">
      <w:pPr>
        <w:spacing w:after="156" w:line="259" w:lineRule="auto"/>
        <w:ind w:left="0" w:firstLine="0"/>
      </w:pPr>
      <w:bookmarkStart w:id="0" w:name="_GoBack"/>
      <w:bookmarkEnd w:id="0"/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56" w:line="259" w:lineRule="auto"/>
        <w:ind w:left="0" w:firstLine="0"/>
      </w:pPr>
      <w:r>
        <w:t xml:space="preserve"> </w:t>
      </w:r>
    </w:p>
    <w:p w:rsidR="00840DFC" w:rsidRDefault="0046567E">
      <w:pPr>
        <w:spacing w:after="161"/>
        <w:ind w:left="-5"/>
      </w:pPr>
      <w:r>
        <w:t xml:space="preserve">Použité normy:  </w:t>
      </w:r>
      <w:r>
        <w:t xml:space="preserve">  </w:t>
      </w:r>
    </w:p>
    <w:p w:rsidR="00840DFC" w:rsidRDefault="0046567E">
      <w:pPr>
        <w:spacing w:after="159"/>
        <w:ind w:left="-5"/>
      </w:pPr>
      <w:r>
        <w:lastRenderedPageBreak/>
        <w:t>ČSN EN 15095+A1 Motoricky poháněné příčkové a policové přesuvné regály (dle této normy požadujeme rovinnosti kolejnic, minimální mezery a odstupy mezi vozy)</w:t>
      </w:r>
      <w:r>
        <w:t xml:space="preserve"> </w:t>
      </w:r>
    </w:p>
    <w:p w:rsidR="00840DFC" w:rsidRDefault="0046567E">
      <w:pPr>
        <w:ind w:left="-5"/>
      </w:pPr>
      <w:r>
        <w:t>ČSN EN 15</w:t>
      </w:r>
      <w:r>
        <w:t xml:space="preserve"> </w:t>
      </w:r>
      <w:r>
        <w:t>635 Ocelové statické skladovací systémy –</w:t>
      </w:r>
      <w:r>
        <w:t xml:space="preserve"> </w:t>
      </w:r>
      <w:r>
        <w:t>používání a údržba skladovacího zařízení</w:t>
      </w:r>
      <w:r>
        <w:t xml:space="preserve"> </w:t>
      </w:r>
    </w:p>
    <w:sectPr w:rsidR="00840DFC">
      <w:headerReference w:type="even" r:id="rId6"/>
      <w:headerReference w:type="default" r:id="rId7"/>
      <w:headerReference w:type="first" r:id="rId8"/>
      <w:pgSz w:w="11906" w:h="16838"/>
      <w:pgMar w:top="1538" w:right="1121" w:bottom="1452" w:left="1416" w:header="75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6567E">
      <w:pPr>
        <w:spacing w:after="0" w:line="240" w:lineRule="auto"/>
      </w:pPr>
      <w:r>
        <w:separator/>
      </w:r>
    </w:p>
  </w:endnote>
  <w:endnote w:type="continuationSeparator" w:id="0">
    <w:p w:rsidR="00000000" w:rsidRDefault="0046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6567E">
      <w:pPr>
        <w:spacing w:after="0" w:line="240" w:lineRule="auto"/>
      </w:pPr>
      <w:r>
        <w:separator/>
      </w:r>
    </w:p>
  </w:footnote>
  <w:footnote w:type="continuationSeparator" w:id="0">
    <w:p w:rsidR="00000000" w:rsidRDefault="0046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DFC" w:rsidRDefault="0046567E">
    <w:pPr>
      <w:spacing w:after="157" w:line="259" w:lineRule="auto"/>
      <w:ind w:left="0" w:right="16" w:firstLine="0"/>
      <w:jc w:val="center"/>
    </w:pPr>
    <w:r>
      <w:rPr>
        <w:b/>
        <w:sz w:val="18"/>
      </w:rPr>
      <w:t xml:space="preserve">Technická zpráva </w:t>
    </w:r>
  </w:p>
  <w:p w:rsidR="00840DFC" w:rsidRDefault="0046567E">
    <w:pPr>
      <w:spacing w:after="0" w:line="259" w:lineRule="auto"/>
      <w:ind w:left="0" w:right="17" w:firstLine="0"/>
      <w:jc w:val="center"/>
    </w:pPr>
    <w:r>
      <w:rPr>
        <w:sz w:val="18"/>
      </w:rPr>
      <w:t>Projektová dokumentace k posuvným a stacionárním regálům pro Horáckou Galerii</w:t>
    </w:r>
    <w:r>
      <w:rPr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DFC" w:rsidRDefault="0046567E">
    <w:pPr>
      <w:spacing w:after="157" w:line="259" w:lineRule="auto"/>
      <w:ind w:left="0" w:right="16" w:firstLine="0"/>
      <w:jc w:val="center"/>
    </w:pPr>
    <w:r>
      <w:rPr>
        <w:b/>
        <w:sz w:val="18"/>
      </w:rPr>
      <w:t xml:space="preserve">Technická zpráva </w:t>
    </w:r>
  </w:p>
  <w:p w:rsidR="00840DFC" w:rsidRDefault="0046567E">
    <w:pPr>
      <w:spacing w:after="0" w:line="259" w:lineRule="auto"/>
      <w:ind w:left="0" w:right="17" w:firstLine="0"/>
      <w:jc w:val="center"/>
    </w:pPr>
    <w:r>
      <w:rPr>
        <w:sz w:val="18"/>
      </w:rPr>
      <w:t>Projektová dokumentace k posuvným a stacionárním regálům pro Horáckou Galerii</w:t>
    </w:r>
    <w:r>
      <w:rPr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DFC" w:rsidRDefault="0046567E">
    <w:pPr>
      <w:spacing w:after="157" w:line="259" w:lineRule="auto"/>
      <w:ind w:left="0" w:right="16" w:firstLine="0"/>
      <w:jc w:val="center"/>
    </w:pPr>
    <w:r>
      <w:rPr>
        <w:b/>
        <w:sz w:val="18"/>
      </w:rPr>
      <w:t xml:space="preserve">Technická zpráva </w:t>
    </w:r>
  </w:p>
  <w:p w:rsidR="00840DFC" w:rsidRDefault="0046567E">
    <w:pPr>
      <w:spacing w:after="0" w:line="259" w:lineRule="auto"/>
      <w:ind w:left="0" w:right="17" w:firstLine="0"/>
      <w:jc w:val="center"/>
    </w:pPr>
    <w:r>
      <w:rPr>
        <w:sz w:val="18"/>
      </w:rPr>
      <w:t>Projektová dokumentace k posuvným a stacionárním regálům pro Horáckou Galerii</w:t>
    </w:r>
    <w:r>
      <w:rPr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DFC"/>
    <w:rsid w:val="0046567E"/>
    <w:rsid w:val="00840DFC"/>
    <w:rsid w:val="00A4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9BF2B"/>
  <w15:docId w15:val="{4FCFA149-E79F-4BE7-A65C-27F713BF5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3" w:line="257" w:lineRule="auto"/>
      <w:ind w:left="10" w:hanging="10"/>
    </w:pPr>
    <w:rPr>
      <w:rFonts w:ascii="Tahoma" w:eastAsia="Tahoma" w:hAnsi="Tahoma" w:cs="Tahoma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right="14"/>
      <w:jc w:val="center"/>
      <w:outlineLvl w:val="0"/>
    </w:pPr>
    <w:rPr>
      <w:rFonts w:ascii="Tahoma" w:eastAsia="Tahoma" w:hAnsi="Tahoma" w:cs="Tahoma"/>
      <w:b/>
      <w:color w:val="000000"/>
      <w:sz w:val="28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157" w:line="258" w:lineRule="auto"/>
      <w:ind w:left="10" w:hanging="10"/>
      <w:outlineLvl w:val="1"/>
    </w:pPr>
    <w:rPr>
      <w:rFonts w:ascii="Tahoma" w:eastAsia="Tahoma" w:hAnsi="Tahoma" w:cs="Tahoma"/>
      <w:b/>
      <w:color w:val="000000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Tahoma" w:eastAsia="Tahoma" w:hAnsi="Tahoma" w:cs="Tahoma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Pr>
      <w:rFonts w:ascii="Tahoma" w:eastAsia="Tahoma" w:hAnsi="Tahoma" w:cs="Tahoma"/>
      <w:color w:val="000000"/>
      <w:sz w:val="22"/>
    </w:rPr>
  </w:style>
  <w:style w:type="character" w:customStyle="1" w:styleId="Nadpis1Char">
    <w:name w:val="Nadpis 1 Char"/>
    <w:link w:val="Nadpis1"/>
    <w:rPr>
      <w:rFonts w:ascii="Tahoma" w:eastAsia="Tahoma" w:hAnsi="Tahoma" w:cs="Tahoma"/>
      <w:b/>
      <w:color w:val="000000"/>
      <w:sz w:val="28"/>
    </w:rPr>
  </w:style>
  <w:style w:type="character" w:customStyle="1" w:styleId="Nadpis2Char">
    <w:name w:val="Nadpis 2 Char"/>
    <w:link w:val="Nadpis2"/>
    <w:rPr>
      <w:rFonts w:ascii="Tahoma" w:eastAsia="Tahoma" w:hAnsi="Tahoma" w:cs="Tahoma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1148</Words>
  <Characters>6779</Characters>
  <Application>Microsoft Office Word</Application>
  <DocSecurity>0</DocSecurity>
  <Lines>56</Lines>
  <Paragraphs>15</Paragraphs>
  <ScaleCrop>false</ScaleCrop>
  <Company>Krajský úřad Kraje Vysočina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DELLJIRI</dc:creator>
  <cp:keywords/>
  <cp:lastModifiedBy>Buňat Pavel Bc.</cp:lastModifiedBy>
  <cp:revision>3</cp:revision>
  <dcterms:created xsi:type="dcterms:W3CDTF">2024-10-18T09:12:00Z</dcterms:created>
  <dcterms:modified xsi:type="dcterms:W3CDTF">2024-10-18T09:14:00Z</dcterms:modified>
</cp:coreProperties>
</file>